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10530.0" w:type="dxa"/>
        <w:jc w:val="left"/>
        <w:tblInd w:w="-162.0" w:type="dxa"/>
        <w:tblBorders>
          <w:top w:color="000000" w:space="0" w:sz="2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90"/>
        <w:gridCol w:w="5490"/>
        <w:gridCol w:w="1530"/>
        <w:gridCol w:w="1620"/>
        <w:tblGridChange w:id="0">
          <w:tblGrid>
            <w:gridCol w:w="1890"/>
            <w:gridCol w:w="5490"/>
            <w:gridCol w:w="1530"/>
            <w:gridCol w:w="1620"/>
          </w:tblGrid>
        </w:tblGridChange>
      </w:tblGrid>
      <w:tr>
        <w:trPr>
          <w:cantSplit w:val="0"/>
          <w:trHeight w:val="840" w:hRule="atLeast"/>
          <w:tblHeader w:val="0"/>
        </w:trPr>
        <w:tc>
          <w:tcPr>
            <w:gridSpan w:val="4"/>
          </w:tcPr>
          <w:p w:rsidR="00000000" w:rsidDel="00000000" w:rsidP="00000000" w:rsidRDefault="00000000" w:rsidRPr="00000000" w14:paraId="00000002">
            <w:pPr>
              <w:spacing w:before="120" w:lineRule="auto"/>
              <w:jc w:val="center"/>
              <w:rPr>
                <w:rFonts w:ascii="Times New Roman" w:cs="Times New Roman" w:eastAsia="Times New Roman" w:hAnsi="Times New Roman"/>
                <w:b w:val="1"/>
                <w:bCs w:val="1"/>
                <w:color w:val="ff0000"/>
                <w:sz w:val="32"/>
                <w:szCs w:val="32"/>
              </w:rPr>
            </w:pPr>
            <w:r w:rsidDel="00000000" w:rsidR="00000000" w:rsidRPr="00000000">
              <w:rPr>
                <w:rFonts w:ascii="Times New Roman" w:cs="Times New Roman" w:eastAsia="Times New Roman" w:hAnsi="Times New Roman"/>
                <w:b w:val="1"/>
                <w:bCs w:val="1"/>
                <w:color w:val="ff0000"/>
                <w:sz w:val="32"/>
                <w:szCs w:val="32"/>
                <w:rtl w:val="0"/>
              </w:rPr>
              <w:t xml:space="preserve">Cleveland City Board of Education</w:t>
            </w:r>
          </w:p>
        </w:tc>
      </w:tr>
      <w:tr>
        <w:trPr>
          <w:cantSplit w:val="0"/>
          <w:trHeight w:val="620" w:hRule="atLeast"/>
          <w:tblHeader w:val="0"/>
        </w:trPr>
        <w:tc>
          <w:tcPr>
            <w:vMerge w:val="restart"/>
          </w:tcPr>
          <w:p w:rsidR="00000000" w:rsidDel="00000000" w:rsidP="00000000" w:rsidRDefault="00000000" w:rsidRPr="00000000" w14:paraId="00000006">
            <w:pPr>
              <w:spacing w:after="120" w:before="120" w:lineRule="auto"/>
              <w:rPr>
                <w:rFonts w:ascii="Times New Roman" w:cs="Times New Roman" w:eastAsia="Times New Roman" w:hAnsi="Times New Roman"/>
                <w:color w:val="ff0000"/>
                <w:sz w:val="16"/>
                <w:szCs w:val="16"/>
              </w:rPr>
            </w:pPr>
            <w:r w:rsidDel="00000000" w:rsidR="00000000" w:rsidRPr="00000000">
              <w:rPr>
                <w:rFonts w:ascii="Times New Roman" w:cs="Times New Roman" w:eastAsia="Times New Roman" w:hAnsi="Times New Roman"/>
                <w:color w:val="ff0000"/>
                <w:sz w:val="16"/>
                <w:szCs w:val="16"/>
                <w:rtl w:val="0"/>
              </w:rPr>
              <w:t xml:space="preserve">Monitoring:</w:t>
            </w:r>
          </w:p>
          <w:p w:rsidR="00000000" w:rsidDel="00000000" w:rsidP="00000000" w:rsidRDefault="00000000" w:rsidRPr="00000000" w14:paraId="00000007">
            <w:pPr>
              <w:rPr>
                <w:rFonts w:ascii="Times New Roman" w:cs="Times New Roman" w:eastAsia="Times New Roman" w:hAnsi="Times New Roman"/>
                <w:b w:val="1"/>
                <w:bCs w:val="1"/>
                <w:color w:val="ff0000"/>
                <w:sz w:val="20"/>
                <w:szCs w:val="20"/>
              </w:rPr>
            </w:pPr>
            <w:r w:rsidDel="00000000" w:rsidR="00000000" w:rsidRPr="00000000">
              <w:rPr>
                <w:rFonts w:ascii="Times New Roman" w:cs="Times New Roman" w:eastAsia="Times New Roman" w:hAnsi="Times New Roman"/>
                <w:b w:val="1"/>
                <w:bCs w:val="1"/>
                <w:color w:val="ff0000"/>
                <w:sz w:val="18"/>
                <w:szCs w:val="18"/>
                <w:rtl w:val="0"/>
              </w:rPr>
              <w:t xml:space="preserve">Review: Annually, in April</w:t>
            </w:r>
            <w:r w:rsidDel="00000000" w:rsidR="00000000" w:rsidRPr="00000000">
              <w:rPr>
                <w:rtl w:val="0"/>
              </w:rPr>
            </w:r>
          </w:p>
        </w:tc>
        <w:tc>
          <w:tcPr>
            <w:vMerge w:val="restart"/>
          </w:tcPr>
          <w:p w:rsidR="00000000" w:rsidDel="00000000" w:rsidP="00000000" w:rsidRDefault="00000000" w:rsidRPr="00000000" w14:paraId="00000008">
            <w:pPr>
              <w:spacing w:after="120" w:before="120" w:lineRule="auto"/>
              <w:rPr>
                <w:rFonts w:ascii="Times New Roman" w:cs="Times New Roman" w:eastAsia="Times New Roman" w:hAnsi="Times New Roman"/>
                <w:color w:val="ff0000"/>
                <w:sz w:val="16"/>
                <w:szCs w:val="16"/>
              </w:rPr>
            </w:pPr>
            <w:r w:rsidDel="00000000" w:rsidR="00000000" w:rsidRPr="00000000">
              <w:rPr>
                <w:rFonts w:ascii="Times New Roman" w:cs="Times New Roman" w:eastAsia="Times New Roman" w:hAnsi="Times New Roman"/>
                <w:color w:val="ff0000"/>
                <w:sz w:val="16"/>
                <w:szCs w:val="16"/>
                <w:rtl w:val="0"/>
              </w:rPr>
              <w:t xml:space="preserve">Descriptor Term:</w:t>
            </w:r>
          </w:p>
          <w:p w:rsidR="00000000" w:rsidDel="00000000" w:rsidP="00000000" w:rsidRDefault="00000000" w:rsidRPr="00000000" w14:paraId="00000009">
            <w:pPr>
              <w:jc w:val="center"/>
              <w:rPr>
                <w:rFonts w:ascii="Times New Roman" w:cs="Times New Roman" w:eastAsia="Times New Roman" w:hAnsi="Times New Roman"/>
                <w:b w:val="1"/>
                <w:bCs w:val="1"/>
                <w:color w:val="ff0000"/>
                <w:sz w:val="36"/>
                <w:szCs w:val="36"/>
              </w:rPr>
            </w:pPr>
            <w:r w:rsidDel="00000000" w:rsidR="00000000" w:rsidRPr="00000000">
              <w:rPr>
                <w:rFonts w:ascii="Times New Roman" w:cs="Times New Roman" w:eastAsia="Times New Roman" w:hAnsi="Times New Roman"/>
                <w:b w:val="1"/>
                <w:bCs w:val="1"/>
                <w:color w:val="ff0000"/>
                <w:sz w:val="36"/>
                <w:szCs w:val="36"/>
                <w:rtl w:val="0"/>
              </w:rPr>
              <w:t xml:space="preserve">Outside Applied Behavior Analysis Therapy</w:t>
            </w:r>
          </w:p>
        </w:tc>
        <w:tc>
          <w:tcPr/>
          <w:p w:rsidR="00000000" w:rsidDel="00000000" w:rsidP="00000000" w:rsidRDefault="00000000" w:rsidRPr="00000000" w14:paraId="0000000A">
            <w:pPr>
              <w:spacing w:before="60" w:lineRule="auto"/>
              <w:rPr>
                <w:rFonts w:ascii="Times New Roman" w:cs="Times New Roman" w:eastAsia="Times New Roman" w:hAnsi="Times New Roman"/>
                <w:color w:val="ff0000"/>
                <w:sz w:val="16"/>
                <w:szCs w:val="16"/>
              </w:rPr>
            </w:pPr>
            <w:r w:rsidDel="00000000" w:rsidR="00000000" w:rsidRPr="00000000">
              <w:rPr>
                <w:rFonts w:ascii="Times New Roman" w:cs="Times New Roman" w:eastAsia="Times New Roman" w:hAnsi="Times New Roman"/>
                <w:color w:val="ff0000"/>
                <w:sz w:val="16"/>
                <w:szCs w:val="16"/>
                <w:rtl w:val="0"/>
              </w:rPr>
              <w:t xml:space="preserve">Descriptor Code:</w:t>
            </w:r>
          </w:p>
          <w:p w:rsidR="00000000" w:rsidDel="00000000" w:rsidP="00000000" w:rsidRDefault="00000000" w:rsidRPr="00000000" w14:paraId="0000000B">
            <w:pPr>
              <w:jc w:val="center"/>
              <w:rPr>
                <w:rFonts w:ascii="Times New Roman" w:cs="Times New Roman" w:eastAsia="Times New Roman" w:hAnsi="Times New Roman"/>
                <w:b w:val="1"/>
                <w:bCs w:val="1"/>
                <w:color w:val="ff0000"/>
                <w:sz w:val="20"/>
                <w:szCs w:val="20"/>
              </w:rPr>
            </w:pPr>
            <w:r w:rsidDel="00000000" w:rsidR="00000000" w:rsidRPr="00000000">
              <w:rPr>
                <w:rFonts w:ascii="Times New Roman" w:cs="Times New Roman" w:eastAsia="Times New Roman" w:hAnsi="Times New Roman"/>
                <w:b w:val="1"/>
                <w:bCs w:val="1"/>
                <w:color w:val="ff0000"/>
                <w:sz w:val="20"/>
                <w:szCs w:val="20"/>
                <w:rtl w:val="0"/>
              </w:rPr>
              <w:t xml:space="preserve">6.4053</w:t>
            </w:r>
          </w:p>
        </w:tc>
        <w:tc>
          <w:tcPr/>
          <w:p w:rsidR="00000000" w:rsidDel="00000000" w:rsidP="00000000" w:rsidRDefault="00000000" w:rsidRPr="00000000" w14:paraId="0000000C">
            <w:pPr>
              <w:spacing w:before="60" w:lineRule="auto"/>
              <w:rPr>
                <w:rFonts w:ascii="Times New Roman" w:cs="Times New Roman" w:eastAsia="Times New Roman" w:hAnsi="Times New Roman"/>
                <w:color w:val="ff0000"/>
                <w:sz w:val="16"/>
                <w:szCs w:val="16"/>
              </w:rPr>
            </w:pPr>
            <w:r w:rsidDel="00000000" w:rsidR="00000000" w:rsidRPr="00000000">
              <w:rPr>
                <w:rFonts w:ascii="Times New Roman" w:cs="Times New Roman" w:eastAsia="Times New Roman" w:hAnsi="Times New Roman"/>
                <w:color w:val="ff0000"/>
                <w:sz w:val="16"/>
                <w:szCs w:val="16"/>
                <w:rtl w:val="0"/>
              </w:rPr>
              <w:t xml:space="preserve">Issued Date:</w:t>
            </w:r>
          </w:p>
          <w:p w:rsidR="00000000" w:rsidDel="00000000" w:rsidP="00000000" w:rsidRDefault="00000000" w:rsidRPr="00000000" w14:paraId="0000000D">
            <w:pPr>
              <w:jc w:val="center"/>
              <w:rPr>
                <w:rFonts w:ascii="Times New Roman" w:cs="Times New Roman" w:eastAsia="Times New Roman" w:hAnsi="Times New Roman"/>
                <w:b w:val="1"/>
                <w:bCs w:val="1"/>
                <w:color w:val="ff0000"/>
                <w:sz w:val="20"/>
                <w:szCs w:val="20"/>
              </w:rPr>
            </w:pPr>
            <w:r w:rsidDel="00000000" w:rsidR="00000000" w:rsidRPr="00000000">
              <w:rPr>
                <w:rFonts w:ascii="Times New Roman" w:cs="Times New Roman" w:eastAsia="Times New Roman" w:hAnsi="Times New Roman"/>
                <w:b w:val="1"/>
                <w:bCs w:val="1"/>
                <w:color w:val="ff0000"/>
                <w:sz w:val="20"/>
                <w:szCs w:val="20"/>
                <w:rtl w:val="0"/>
              </w:rPr>
              <w:t xml:space="preserve"> draft</w:t>
            </w:r>
          </w:p>
        </w:tc>
      </w:tr>
      <w:tr>
        <w:trPr>
          <w:cantSplit w:val="0"/>
          <w:trHeight w:val="701" w:hRule="atLeast"/>
          <w:tblHeader w:val="0"/>
        </w:trPr>
        <w:tc>
          <w:tcPr>
            <w:vMerge w:val="continue"/>
          </w:tcPr>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tc>
        <w:tc>
          <w:tcPr>
            <w:vMerge w:val="continue"/>
          </w:tcPr>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tc>
        <w:tc>
          <w:tcPr/>
          <w:p w:rsidR="00000000" w:rsidDel="00000000" w:rsidP="00000000" w:rsidRDefault="00000000" w:rsidRPr="00000000" w14:paraId="00000010">
            <w:pPr>
              <w:spacing w:before="60" w:lineRule="auto"/>
              <w:rPr>
                <w:rFonts w:ascii="Times New Roman" w:cs="Times New Roman" w:eastAsia="Times New Roman" w:hAnsi="Times New Roman"/>
                <w:color w:val="ff0000"/>
                <w:sz w:val="16"/>
                <w:szCs w:val="16"/>
              </w:rPr>
            </w:pPr>
            <w:r w:rsidDel="00000000" w:rsidR="00000000" w:rsidRPr="00000000">
              <w:rPr>
                <w:rFonts w:ascii="Times New Roman" w:cs="Times New Roman" w:eastAsia="Times New Roman" w:hAnsi="Times New Roman"/>
                <w:color w:val="ff0000"/>
                <w:sz w:val="16"/>
                <w:szCs w:val="16"/>
                <w:rtl w:val="0"/>
              </w:rPr>
              <w:t xml:space="preserve">Rescinds:</w:t>
            </w:r>
          </w:p>
          <w:p w:rsidR="00000000" w:rsidDel="00000000" w:rsidP="00000000" w:rsidRDefault="00000000" w:rsidRPr="00000000" w14:paraId="00000011">
            <w:pPr>
              <w:jc w:val="center"/>
              <w:rPr>
                <w:rFonts w:ascii="Times New Roman" w:cs="Times New Roman" w:eastAsia="Times New Roman" w:hAnsi="Times New Roman"/>
                <w:b w:val="1"/>
                <w:bCs w:val="1"/>
                <w:color w:val="ff0000"/>
                <w:sz w:val="20"/>
                <w:szCs w:val="20"/>
              </w:rPr>
            </w:pPr>
            <w:r w:rsidDel="00000000" w:rsidR="00000000" w:rsidRPr="00000000">
              <w:rPr>
                <w:color w:val="ff0000"/>
                <w:rtl w:val="0"/>
              </w:rPr>
              <w:t xml:space="preserve"> </w:t>
            </w:r>
            <w:r w:rsidDel="00000000" w:rsidR="00000000" w:rsidRPr="00000000">
              <w:rPr>
                <w:rtl w:val="0"/>
              </w:rPr>
            </w:r>
          </w:p>
        </w:tc>
        <w:tc>
          <w:tcPr/>
          <w:p w:rsidR="00000000" w:rsidDel="00000000" w:rsidP="00000000" w:rsidRDefault="00000000" w:rsidRPr="00000000" w14:paraId="00000012">
            <w:pPr>
              <w:spacing w:before="60" w:lineRule="auto"/>
              <w:rPr>
                <w:rFonts w:ascii="Times New Roman" w:cs="Times New Roman" w:eastAsia="Times New Roman" w:hAnsi="Times New Roman"/>
                <w:color w:val="ff0000"/>
                <w:sz w:val="16"/>
                <w:szCs w:val="16"/>
              </w:rPr>
            </w:pPr>
            <w:r w:rsidDel="00000000" w:rsidR="00000000" w:rsidRPr="00000000">
              <w:rPr>
                <w:rFonts w:ascii="Times New Roman" w:cs="Times New Roman" w:eastAsia="Times New Roman" w:hAnsi="Times New Roman"/>
                <w:color w:val="ff0000"/>
                <w:sz w:val="16"/>
                <w:szCs w:val="16"/>
                <w:rtl w:val="0"/>
              </w:rPr>
              <w:t xml:space="preserve">Issued:</w:t>
            </w:r>
          </w:p>
          <w:p w:rsidR="00000000" w:rsidDel="00000000" w:rsidP="00000000" w:rsidRDefault="00000000" w:rsidRPr="00000000" w14:paraId="00000013">
            <w:pPr>
              <w:jc w:val="center"/>
              <w:rPr>
                <w:rFonts w:ascii="Times New Roman" w:cs="Times New Roman" w:eastAsia="Times New Roman" w:hAnsi="Times New Roman"/>
                <w:b w:val="1"/>
                <w:bCs w:val="1"/>
                <w:color w:val="ff0000"/>
                <w:sz w:val="20"/>
                <w:szCs w:val="20"/>
              </w:rPr>
            </w:pPr>
            <w:r w:rsidDel="00000000" w:rsidR="00000000" w:rsidRPr="00000000">
              <w:rPr>
                <w:color w:val="ff0000"/>
                <w:rtl w:val="0"/>
              </w:rPr>
              <w:t xml:space="preserve"> </w:t>
            </w:r>
            <w:r w:rsidDel="00000000" w:rsidR="00000000" w:rsidRPr="00000000">
              <w:rPr>
                <w:rtl w:val="0"/>
              </w:rPr>
            </w:r>
          </w:p>
        </w:tc>
      </w:tr>
    </w:tbl>
    <w:bookmarkStart w:colFirst="0" w:colLast="0" w:name="bookmark=id.egslr389ziu0" w:id="0"/>
    <w:bookmarkEnd w:id="0"/>
    <w:p w:rsidR="00000000" w:rsidDel="00000000" w:rsidP="00000000" w:rsidRDefault="00000000" w:rsidRPr="00000000" w14:paraId="00000014">
      <w:pPr>
        <w:spacing w:after="0" w:before="240" w:line="240" w:lineRule="auto"/>
        <w:rPr>
          <w:rFonts w:ascii="Times" w:cs="Times" w:eastAsia="Times" w:hAnsi="Times"/>
          <w:i w:val="1"/>
          <w:iCs w:val="1"/>
          <w:color w:val="ff0000"/>
          <w:sz w:val="24"/>
          <w:szCs w:val="24"/>
        </w:rPr>
      </w:pPr>
      <w:r w:rsidDel="00000000" w:rsidR="00000000" w:rsidRPr="00000000">
        <w:rPr>
          <w:rFonts w:ascii="Times" w:cs="Times" w:eastAsia="Times" w:hAnsi="Times"/>
          <w:i w:val="1"/>
          <w:iCs w:val="1"/>
          <w:color w:val="ff0000"/>
          <w:sz w:val="24"/>
          <w:szCs w:val="24"/>
          <w:rtl w:val="0"/>
        </w:rPr>
        <w:t xml:space="preserve">General</w:t>
      </w:r>
    </w:p>
    <w:p w:rsidR="00000000" w:rsidDel="00000000" w:rsidP="00000000" w:rsidRDefault="00000000" w:rsidRPr="00000000" w14:paraId="00000015">
      <w:pPr>
        <w:spacing w:after="0" w:before="240" w:line="240" w:lineRule="auto"/>
        <w:rPr>
          <w:rFonts w:ascii="Times" w:cs="Times" w:eastAsia="Times" w:hAnsi="Times"/>
          <w:color w:val="ff0000"/>
          <w:sz w:val="24"/>
          <w:szCs w:val="24"/>
        </w:rPr>
      </w:pPr>
      <w:r w:rsidDel="00000000" w:rsidR="00000000" w:rsidRPr="00000000">
        <w:rPr>
          <w:rFonts w:ascii="Times" w:cs="Times" w:eastAsia="Times" w:hAnsi="Times"/>
          <w:color w:val="ff0000"/>
          <w:sz w:val="24"/>
          <w:szCs w:val="24"/>
          <w:rtl w:val="0"/>
        </w:rPr>
        <w:t xml:space="preserve">This policy applies to “private pay providers”, which include licensed behavior analysts, registered behavior technicians, and licensed assistant behavior analysts, who are under contract with parent(s)/guardian(s) of students with autism spectrum disorder or developmental delays.</w:t>
      </w:r>
      <w:r w:rsidDel="00000000" w:rsidR="00000000" w:rsidRPr="00000000">
        <w:rPr>
          <w:rFonts w:ascii="Times" w:cs="Times" w:eastAsia="Times" w:hAnsi="Times"/>
          <w:color w:val="ff0000"/>
          <w:sz w:val="24"/>
          <w:szCs w:val="24"/>
          <w:vertAlign w:val="superscript"/>
          <w:rtl w:val="0"/>
        </w:rPr>
        <w:t xml:space="preserve">1</w:t>
      </w:r>
      <w:r w:rsidDel="00000000" w:rsidR="00000000" w:rsidRPr="00000000">
        <w:rPr>
          <w:rFonts w:ascii="Times" w:cs="Times" w:eastAsia="Times" w:hAnsi="Times"/>
          <w:color w:val="ff0000"/>
          <w:sz w:val="24"/>
          <w:szCs w:val="24"/>
          <w:rtl w:val="0"/>
        </w:rPr>
        <w:t xml:space="preserve"> </w:t>
      </w:r>
    </w:p>
    <w:p w:rsidR="00000000" w:rsidDel="00000000" w:rsidP="00000000" w:rsidRDefault="00000000" w:rsidRPr="00000000" w14:paraId="00000016">
      <w:pPr>
        <w:spacing w:after="0" w:before="240" w:line="240" w:lineRule="auto"/>
        <w:rPr>
          <w:rFonts w:ascii="Times" w:cs="Times" w:eastAsia="Times" w:hAnsi="Times"/>
          <w:color w:val="ff0000"/>
          <w:sz w:val="24"/>
          <w:szCs w:val="24"/>
        </w:rPr>
      </w:pPr>
      <w:r w:rsidDel="00000000" w:rsidR="00000000" w:rsidRPr="00000000">
        <w:rPr>
          <w:rFonts w:ascii="Times" w:cs="Times" w:eastAsia="Times" w:hAnsi="Times"/>
          <w:color w:val="ff0000"/>
          <w:sz w:val="24"/>
          <w:szCs w:val="24"/>
          <w:rtl w:val="0"/>
        </w:rPr>
        <w:t xml:space="preserve">Private pay providers shall adhere to the memorandum of understanding (“MOU”), board policies, and state and federal laws while assisting students on school property and/or at school functions. This includes adhering to student confidentiality laws for any student the private pay provider encounters. The school district shall require a background check and fingerprinting of all private pay providers. </w:t>
      </w:r>
    </w:p>
    <w:p w:rsidR="00000000" w:rsidDel="00000000" w:rsidP="00000000" w:rsidRDefault="00000000" w:rsidRPr="00000000" w14:paraId="00000017">
      <w:pPr>
        <w:spacing w:after="0" w:before="240" w:line="240" w:lineRule="auto"/>
        <w:rPr>
          <w:rFonts w:ascii="Times" w:cs="Times" w:eastAsia="Times" w:hAnsi="Times"/>
          <w:color w:val="ff0000"/>
          <w:sz w:val="24"/>
          <w:szCs w:val="24"/>
        </w:rPr>
      </w:pPr>
      <w:r w:rsidDel="00000000" w:rsidR="00000000" w:rsidRPr="00000000">
        <w:rPr>
          <w:rFonts w:ascii="Times" w:cs="Times" w:eastAsia="Times" w:hAnsi="Times"/>
          <w:color w:val="ff0000"/>
          <w:sz w:val="24"/>
          <w:szCs w:val="24"/>
          <w:rtl w:val="0"/>
        </w:rPr>
        <w:t xml:space="preserve">A private pay provider accompanying a student on campus shall be responsible for attending to the ongoing needs of the student they are contracted to assist. The school district shall not request the private pay provider to provide services to any other students, staff, or visitors. </w:t>
      </w:r>
    </w:p>
    <w:p w:rsidR="00000000" w:rsidDel="00000000" w:rsidP="00000000" w:rsidRDefault="00000000" w:rsidRPr="00000000" w14:paraId="00000018">
      <w:pPr>
        <w:spacing w:after="0" w:before="240" w:line="240" w:lineRule="auto"/>
        <w:rPr>
          <w:rFonts w:ascii="Times" w:cs="Times" w:eastAsia="Times" w:hAnsi="Times"/>
          <w:color w:val="ff0000"/>
          <w:sz w:val="24"/>
          <w:szCs w:val="24"/>
        </w:rPr>
      </w:pPr>
      <w:r w:rsidDel="00000000" w:rsidR="00000000" w:rsidRPr="00000000">
        <w:rPr>
          <w:rFonts w:ascii="Times" w:cs="Times" w:eastAsia="Times" w:hAnsi="Times"/>
          <w:color w:val="ff0000"/>
          <w:sz w:val="24"/>
          <w:szCs w:val="24"/>
          <w:rtl w:val="0"/>
        </w:rPr>
        <w:t xml:space="preserve">The Director of Schools shall develop administrative procedures to implement this policy. </w:t>
      </w:r>
    </w:p>
    <w:p w:rsidR="00000000" w:rsidDel="00000000" w:rsidP="00000000" w:rsidRDefault="00000000" w:rsidRPr="00000000" w14:paraId="00000019">
      <w:pPr>
        <w:spacing w:after="0" w:before="240" w:line="240" w:lineRule="auto"/>
        <w:rPr>
          <w:rFonts w:ascii="Times" w:cs="Times" w:eastAsia="Times" w:hAnsi="Times"/>
          <w:b w:val="1"/>
          <w:bCs w:val="1"/>
          <w:color w:val="ff0000"/>
          <w:sz w:val="24"/>
          <w:szCs w:val="24"/>
        </w:rPr>
      </w:pPr>
      <w:r w:rsidDel="00000000" w:rsidR="00000000" w:rsidRPr="00000000">
        <w:rPr>
          <w:rFonts w:ascii="Times" w:cs="Times" w:eastAsia="Times" w:hAnsi="Times"/>
          <w:b w:val="1"/>
          <w:bCs w:val="1"/>
          <w:color w:val="ff0000"/>
          <w:sz w:val="24"/>
          <w:szCs w:val="24"/>
          <w:rtl w:val="0"/>
        </w:rPr>
        <w:t xml:space="preserve">IEP TEAM COORDINATION</w:t>
      </w:r>
    </w:p>
    <w:p w:rsidR="00000000" w:rsidDel="00000000" w:rsidP="00000000" w:rsidRDefault="00000000" w:rsidRPr="00000000" w14:paraId="0000001A">
      <w:pPr>
        <w:spacing w:after="0" w:before="240" w:line="240" w:lineRule="auto"/>
        <w:rPr>
          <w:rFonts w:ascii="Times" w:cs="Times" w:eastAsia="Times" w:hAnsi="Times"/>
          <w:color w:val="ff0000"/>
          <w:sz w:val="24"/>
          <w:szCs w:val="24"/>
        </w:rPr>
      </w:pPr>
      <w:r w:rsidDel="00000000" w:rsidR="00000000" w:rsidRPr="00000000">
        <w:rPr>
          <w:rFonts w:ascii="Times" w:cs="Times" w:eastAsia="Times" w:hAnsi="Times"/>
          <w:color w:val="ff0000"/>
          <w:sz w:val="24"/>
          <w:szCs w:val="24"/>
          <w:rtl w:val="0"/>
        </w:rPr>
        <w:t xml:space="preserve">Private pay providers shall coordinate with the student’s IEP team by:</w:t>
      </w:r>
    </w:p>
    <w:p w:rsidR="00000000" w:rsidDel="00000000" w:rsidP="00000000" w:rsidRDefault="00000000" w:rsidRPr="00000000" w14:paraId="0000001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240" w:line="240" w:lineRule="auto"/>
        <w:ind w:left="720" w:right="0" w:hanging="360"/>
        <w:jc w:val="left"/>
        <w:rPr>
          <w:rFonts w:ascii="Times" w:cs="Times" w:eastAsia="Times" w:hAnsi="Times"/>
          <w:b w:val="0"/>
          <w:bCs w:val="0"/>
          <w:i w:val="0"/>
          <w:iCs w:val="0"/>
          <w:smallCaps w:val="0"/>
          <w:strike w:val="0"/>
          <w:color w:val="ff0000"/>
          <w:sz w:val="24"/>
          <w:szCs w:val="24"/>
          <w:vertAlign w:val="baseline"/>
        </w:rPr>
      </w:pPr>
      <w:r w:rsidDel="00000000" w:rsidR="00000000" w:rsidRPr="00000000">
        <w:rPr>
          <w:rFonts w:ascii="Times" w:cs="Times" w:eastAsia="Times" w:hAnsi="Times"/>
          <w:b w:val="0"/>
          <w:bCs w:val="0"/>
          <w:i w:val="0"/>
          <w:iCs w:val="0"/>
          <w:smallCaps w:val="0"/>
          <w:strike w:val="0"/>
          <w:color w:val="ff0000"/>
          <w:sz w:val="24"/>
          <w:szCs w:val="24"/>
          <w:u w:val="none"/>
          <w:vertAlign w:val="baseline"/>
          <w:rtl w:val="0"/>
        </w:rPr>
        <w:t xml:space="preserve">Attending an onboarding session;</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w:cs="Times" w:eastAsia="Times" w:hAnsi="Times"/>
          <w:b w:val="0"/>
          <w:bCs w:val="0"/>
          <w:i w:val="0"/>
          <w:iCs w:val="0"/>
          <w:smallCaps w:val="0"/>
          <w:strike w:val="0"/>
          <w:color w:val="ff0000"/>
          <w:sz w:val="24"/>
          <w:szCs w:val="24"/>
          <w:u w:val="none"/>
          <w:vertAlign w:val="baseline"/>
        </w:rPr>
      </w:pPr>
      <w:r w:rsidDel="00000000" w:rsidR="00000000" w:rsidRPr="00000000">
        <w:rPr>
          <w:rtl w:val="0"/>
        </w:rPr>
      </w:r>
    </w:p>
    <w:p w:rsidR="00000000" w:rsidDel="00000000" w:rsidP="00000000" w:rsidRDefault="00000000" w:rsidRPr="00000000" w14:paraId="0000001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w:cs="Times" w:eastAsia="Times" w:hAnsi="Times"/>
          <w:b w:val="0"/>
          <w:bCs w:val="0"/>
          <w:i w:val="0"/>
          <w:iCs w:val="0"/>
          <w:smallCaps w:val="0"/>
          <w:strike w:val="0"/>
          <w:color w:val="ff0000"/>
          <w:sz w:val="24"/>
          <w:szCs w:val="24"/>
          <w:vertAlign w:val="baseline"/>
        </w:rPr>
      </w:pPr>
      <w:r w:rsidDel="00000000" w:rsidR="00000000" w:rsidRPr="00000000">
        <w:rPr>
          <w:rFonts w:ascii="Times" w:cs="Times" w:eastAsia="Times" w:hAnsi="Times"/>
          <w:b w:val="0"/>
          <w:bCs w:val="0"/>
          <w:i w:val="0"/>
          <w:iCs w:val="0"/>
          <w:smallCaps w:val="0"/>
          <w:strike w:val="0"/>
          <w:color w:val="ff0000"/>
          <w:sz w:val="24"/>
          <w:szCs w:val="24"/>
          <w:u w:val="none"/>
          <w:vertAlign w:val="baseline"/>
          <w:rtl w:val="0"/>
        </w:rPr>
        <w:t xml:space="preserve">Defining roles and communication channels; </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Times" w:cs="Times" w:eastAsia="Times" w:hAnsi="Times"/>
          <w:b w:val="0"/>
          <w:bCs w:val="0"/>
          <w:i w:val="0"/>
          <w:iCs w:val="0"/>
          <w:smallCaps w:val="0"/>
          <w:strike w:val="0"/>
          <w:color w:val="ff0000"/>
          <w:sz w:val="24"/>
          <w:szCs w:val="24"/>
          <w:u w:val="none"/>
          <w:vertAlign w:val="baseline"/>
        </w:rPr>
      </w:pPr>
      <w:r w:rsidDel="00000000" w:rsidR="00000000" w:rsidRPr="00000000">
        <w:rPr>
          <w:rtl w:val="0"/>
        </w:rPr>
      </w:r>
    </w:p>
    <w:p w:rsidR="00000000" w:rsidDel="00000000" w:rsidP="00000000" w:rsidRDefault="00000000" w:rsidRPr="00000000" w14:paraId="0000001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w:cs="Times" w:eastAsia="Times" w:hAnsi="Times"/>
          <w:b w:val="0"/>
          <w:bCs w:val="0"/>
          <w:i w:val="0"/>
          <w:iCs w:val="0"/>
          <w:smallCaps w:val="0"/>
          <w:strike w:val="0"/>
          <w:color w:val="ff0000"/>
          <w:sz w:val="24"/>
          <w:szCs w:val="24"/>
          <w:vertAlign w:val="baseline"/>
        </w:rPr>
      </w:pPr>
      <w:r w:rsidDel="00000000" w:rsidR="00000000" w:rsidRPr="00000000">
        <w:rPr>
          <w:rFonts w:ascii="Times" w:cs="Times" w:eastAsia="Times" w:hAnsi="Times"/>
          <w:b w:val="0"/>
          <w:bCs w:val="0"/>
          <w:i w:val="0"/>
          <w:iCs w:val="0"/>
          <w:smallCaps w:val="0"/>
          <w:strike w:val="0"/>
          <w:color w:val="ff0000"/>
          <w:sz w:val="24"/>
          <w:szCs w:val="24"/>
          <w:u w:val="none"/>
          <w:vertAlign w:val="baseline"/>
          <w:rtl w:val="0"/>
        </w:rPr>
        <w:t xml:space="preserve">Conducting a review of relevant student records;</w:t>
        <w:br w:type="textWrapping"/>
      </w:r>
    </w:p>
    <w:p w:rsidR="00000000" w:rsidDel="00000000" w:rsidP="00000000" w:rsidRDefault="00000000" w:rsidRPr="00000000" w14:paraId="0000002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w:cs="Times" w:eastAsia="Times" w:hAnsi="Times"/>
          <w:b w:val="0"/>
          <w:bCs w:val="0"/>
          <w:i w:val="0"/>
          <w:iCs w:val="0"/>
          <w:smallCaps w:val="0"/>
          <w:strike w:val="0"/>
          <w:color w:val="ff0000"/>
          <w:sz w:val="24"/>
          <w:szCs w:val="24"/>
          <w:vertAlign w:val="baseline"/>
        </w:rPr>
      </w:pPr>
      <w:r w:rsidDel="00000000" w:rsidR="00000000" w:rsidRPr="00000000">
        <w:rPr>
          <w:rFonts w:ascii="Times" w:cs="Times" w:eastAsia="Times" w:hAnsi="Times"/>
          <w:b w:val="0"/>
          <w:bCs w:val="0"/>
          <w:i w:val="0"/>
          <w:iCs w:val="0"/>
          <w:smallCaps w:val="0"/>
          <w:strike w:val="0"/>
          <w:color w:val="ff0000"/>
          <w:sz w:val="24"/>
          <w:szCs w:val="24"/>
          <w:u w:val="none"/>
          <w:vertAlign w:val="baseline"/>
          <w:rtl w:val="0"/>
        </w:rPr>
        <w:t xml:space="preserve">Ensuring documentation is accurate and promptly provided to all parties; and</w:t>
        <w:br w:type="textWrapping"/>
      </w:r>
    </w:p>
    <w:p w:rsidR="00000000" w:rsidDel="00000000" w:rsidP="00000000" w:rsidRDefault="00000000" w:rsidRPr="00000000" w14:paraId="0000002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w:cs="Times" w:eastAsia="Times" w:hAnsi="Times"/>
          <w:b w:val="0"/>
          <w:bCs w:val="0"/>
          <w:i w:val="0"/>
          <w:iCs w:val="0"/>
          <w:smallCaps w:val="0"/>
          <w:strike w:val="0"/>
          <w:color w:val="ff0000"/>
          <w:sz w:val="24"/>
          <w:szCs w:val="24"/>
          <w:vertAlign w:val="baseline"/>
        </w:rPr>
      </w:pPr>
      <w:r w:rsidDel="00000000" w:rsidR="00000000" w:rsidRPr="00000000">
        <w:rPr>
          <w:rFonts w:ascii="Times" w:cs="Times" w:eastAsia="Times" w:hAnsi="Times"/>
          <w:b w:val="0"/>
          <w:bCs w:val="0"/>
          <w:i w:val="0"/>
          <w:iCs w:val="0"/>
          <w:smallCaps w:val="0"/>
          <w:strike w:val="0"/>
          <w:color w:val="ff0000"/>
          <w:sz w:val="24"/>
          <w:szCs w:val="24"/>
          <w:u w:val="none"/>
          <w:vertAlign w:val="baseline"/>
          <w:rtl w:val="0"/>
        </w:rPr>
        <w:t xml:space="preserve">Coordinating with the IEP team prior to each meeting.</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right="0"/>
        <w:jc w:val="left"/>
        <w:rPr>
          <w:rFonts w:ascii="Times" w:cs="Times" w:eastAsia="Times" w:hAnsi="Times"/>
          <w:color w:val="ff0000"/>
          <w:sz w:val="24"/>
          <w:szCs w:val="24"/>
        </w:rPr>
      </w:pP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right="0"/>
        <w:jc w:val="left"/>
        <w:rPr>
          <w:rFonts w:ascii="Times" w:cs="Times" w:eastAsia="Times" w:hAnsi="Times"/>
          <w:color w:val="ff0000"/>
          <w:sz w:val="24"/>
          <w:szCs w:val="24"/>
        </w:rPr>
      </w:pP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right="0"/>
        <w:jc w:val="left"/>
        <w:rPr>
          <w:rFonts w:ascii="Times" w:cs="Times" w:eastAsia="Times" w:hAnsi="Times"/>
          <w:color w:val="ff0000"/>
          <w:sz w:val="24"/>
          <w:szCs w:val="24"/>
        </w:rPr>
      </w:pPr>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right="0"/>
        <w:jc w:val="left"/>
        <w:rPr>
          <w:rFonts w:ascii="Times" w:cs="Times" w:eastAsia="Times" w:hAnsi="Times"/>
          <w:color w:val="ff0000"/>
          <w:sz w:val="24"/>
          <w:szCs w:val="24"/>
        </w:rPr>
      </w:pPr>
      <w:r w:rsidDel="00000000" w:rsidR="00000000" w:rsidRPr="00000000">
        <w:rPr>
          <w:rtl w:val="0"/>
        </w:rPr>
      </w:r>
    </w:p>
    <w:p w:rsidR="00000000" w:rsidDel="00000000" w:rsidP="00000000" w:rsidRDefault="00000000" w:rsidRPr="00000000" w14:paraId="00000026">
      <w:pPr>
        <w:spacing w:after="0" w:before="240" w:line="240" w:lineRule="auto"/>
        <w:rPr>
          <w:rFonts w:ascii="Times" w:cs="Times" w:eastAsia="Times" w:hAnsi="Times"/>
          <w:b w:val="1"/>
          <w:bCs w:val="1"/>
          <w:color w:val="ff0000"/>
          <w:sz w:val="24"/>
          <w:szCs w:val="24"/>
        </w:rPr>
      </w:pPr>
      <w:r w:rsidDel="00000000" w:rsidR="00000000" w:rsidRPr="00000000">
        <w:rPr>
          <w:rFonts w:ascii="Times" w:cs="Times" w:eastAsia="Times" w:hAnsi="Times"/>
          <w:b w:val="1"/>
          <w:bCs w:val="1"/>
          <w:color w:val="ff0000"/>
          <w:sz w:val="24"/>
          <w:szCs w:val="24"/>
          <w:rtl w:val="0"/>
        </w:rPr>
        <w:t xml:space="preserve">TERMINATION OF SERVICES</w:t>
      </w:r>
    </w:p>
    <w:p w:rsidR="00000000" w:rsidDel="00000000" w:rsidP="00000000" w:rsidRDefault="00000000" w:rsidRPr="00000000" w14:paraId="00000027">
      <w:pPr>
        <w:spacing w:after="0" w:before="240" w:line="240" w:lineRule="auto"/>
        <w:rPr>
          <w:rFonts w:ascii="Times" w:cs="Times" w:eastAsia="Times" w:hAnsi="Times"/>
          <w:b w:val="1"/>
          <w:bCs w:val="1"/>
          <w:color w:val="ff0000"/>
          <w:sz w:val="24"/>
          <w:szCs w:val="24"/>
        </w:rPr>
      </w:pPr>
      <w:r w:rsidDel="00000000" w:rsidR="00000000" w:rsidRPr="00000000">
        <w:rPr>
          <w:rFonts w:ascii="Times" w:cs="Times" w:eastAsia="Times" w:hAnsi="Times"/>
          <w:color w:val="ff0000"/>
          <w:sz w:val="24"/>
          <w:szCs w:val="24"/>
          <w:rtl w:val="0"/>
        </w:rPr>
        <w:t xml:space="preserve">Services of the private pay provider may be terminated for cause. Termination shall be based on violation of the terms of the MOU. If termination is necessary, the Supervisor of Special Populations shall provide the parent/legal guardian with a letter outlining the reason for the termination.</w:t>
      </w:r>
      <w:r w:rsidDel="00000000" w:rsidR="00000000" w:rsidRPr="00000000">
        <w:rPr>
          <w:rtl w:val="0"/>
        </w:rPr>
      </w:r>
    </w:p>
    <w:p w:rsidR="00000000" w:rsidDel="00000000" w:rsidP="00000000" w:rsidRDefault="00000000" w:rsidRPr="00000000" w14:paraId="00000028">
      <w:pPr>
        <w:spacing w:after="0" w:before="240" w:line="240" w:lineRule="auto"/>
        <w:rPr>
          <w:rFonts w:ascii="Times" w:cs="Times" w:eastAsia="Times" w:hAnsi="Times"/>
          <w:color w:val="ff0000"/>
          <w:sz w:val="24"/>
          <w:szCs w:val="24"/>
        </w:rPr>
      </w:pPr>
      <w:r w:rsidDel="00000000" w:rsidR="00000000" w:rsidRPr="00000000">
        <w:rPr>
          <w:rFonts w:ascii="Times" w:cs="Times" w:eastAsia="Times" w:hAnsi="Times"/>
          <w:b w:val="1"/>
          <w:bCs w:val="1"/>
          <w:color w:val="ff0000"/>
          <w:sz w:val="24"/>
          <w:szCs w:val="24"/>
          <w:rtl w:val="0"/>
        </w:rPr>
        <w:t xml:space="preserve">APPEALS PROCESS</w:t>
      </w:r>
      <w:r w:rsidDel="00000000" w:rsidR="00000000" w:rsidRPr="00000000">
        <w:rPr>
          <w:rtl w:val="0"/>
        </w:rPr>
      </w:r>
    </w:p>
    <w:p w:rsidR="00000000" w:rsidDel="00000000" w:rsidP="00000000" w:rsidRDefault="00000000" w:rsidRPr="00000000" w14:paraId="00000029">
      <w:pPr>
        <w:spacing w:after="0" w:before="240" w:line="240" w:lineRule="auto"/>
        <w:rPr>
          <w:rFonts w:ascii="Times" w:cs="Times" w:eastAsia="Times" w:hAnsi="Times"/>
          <w:color w:val="ff0000"/>
          <w:sz w:val="24"/>
          <w:szCs w:val="24"/>
        </w:rPr>
      </w:pPr>
      <w:r w:rsidDel="00000000" w:rsidR="00000000" w:rsidRPr="00000000">
        <w:rPr>
          <w:rFonts w:ascii="Times" w:cs="Times" w:eastAsia="Times" w:hAnsi="Times"/>
          <w:color w:val="ff0000"/>
          <w:sz w:val="24"/>
          <w:szCs w:val="24"/>
          <w:rtl w:val="0"/>
        </w:rPr>
        <w:t xml:space="preserve">If a parent/legal guardian disagrees with the school district on the provision of services, a complaint may be filed in writing with the Director of Schools. The Director shall appoint a panel to make a decision on the appeal. The panel shall be composed of three individuals: a building-level administrator, a district special education staff member, and one other school employee. The panel shall review the complaint from the parent/legal guardian along with information provided by district staff and make a determination on the matter within ten (10) business days.</w:t>
      </w:r>
    </w:p>
    <w:p w:rsidR="00000000" w:rsidDel="00000000" w:rsidP="00000000" w:rsidRDefault="00000000" w:rsidRPr="00000000" w14:paraId="0000002A">
      <w:pPr>
        <w:spacing w:after="0" w:before="240" w:line="240" w:lineRule="auto"/>
        <w:rPr>
          <w:rFonts w:ascii="Times" w:cs="Times" w:eastAsia="Times" w:hAnsi="Times"/>
          <w:color w:val="ff0000"/>
          <w:sz w:val="24"/>
          <w:szCs w:val="24"/>
        </w:rPr>
      </w:pPr>
      <w:r w:rsidDel="00000000" w:rsidR="00000000" w:rsidRPr="00000000">
        <w:rPr>
          <w:rtl w:val="0"/>
        </w:rPr>
      </w:r>
    </w:p>
    <w:p w:rsidR="00000000" w:rsidDel="00000000" w:rsidP="00000000" w:rsidRDefault="00000000" w:rsidRPr="00000000" w14:paraId="0000002B">
      <w:pPr>
        <w:spacing w:after="0" w:before="240" w:line="240" w:lineRule="auto"/>
        <w:rPr>
          <w:rFonts w:ascii="Times" w:cs="Times" w:eastAsia="Times" w:hAnsi="Times"/>
          <w:color w:val="ff0000"/>
          <w:sz w:val="24"/>
          <w:szCs w:val="24"/>
        </w:rPr>
      </w:pPr>
      <w:r w:rsidDel="00000000" w:rsidR="00000000" w:rsidRPr="00000000">
        <w:rPr>
          <w:rtl w:val="0"/>
        </w:rPr>
      </w:r>
    </w:p>
    <w:tbl>
      <w:tblPr>
        <w:tblStyle w:val="Table2"/>
        <w:tblW w:w="5095.0" w:type="dxa"/>
        <w:jc w:val="left"/>
        <w:tblInd w:w="37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5095"/>
        <w:tblGridChange w:id="0">
          <w:tblGrid>
            <w:gridCol w:w="5095"/>
          </w:tblGrid>
        </w:tblGridChange>
      </w:tblGrid>
      <w:tr>
        <w:trPr>
          <w:cantSplit w:val="0"/>
          <w:trHeight w:val="215" w:hRule="atLeast"/>
          <w:tblHeader w:val="0"/>
        </w:trPr>
        <w:tc>
          <w:tcPr>
            <w:tcBorders>
              <w:bottom w:color="000000" w:space="0" w:sz="4" w:val="single"/>
            </w:tcBorders>
          </w:tcPr>
          <w:p w:rsidR="00000000" w:rsidDel="00000000" w:rsidP="00000000" w:rsidRDefault="00000000" w:rsidRPr="00000000" w14:paraId="0000002C">
            <w:pPr>
              <w:spacing w:before="240" w:lineRule="auto"/>
              <w:rPr>
                <w:rFonts w:ascii="Times" w:cs="Times" w:eastAsia="Times" w:hAnsi="Times"/>
                <w:color w:val="ff0000"/>
                <w:sz w:val="18"/>
                <w:szCs w:val="18"/>
              </w:rPr>
            </w:pPr>
            <w:r w:rsidDel="00000000" w:rsidR="00000000" w:rsidRPr="00000000">
              <w:rPr>
                <w:rtl w:val="0"/>
              </w:rPr>
            </w:r>
          </w:p>
        </w:tc>
      </w:tr>
      <w:tr>
        <w:trPr>
          <w:cantSplit w:val="0"/>
          <w:trHeight w:val="323" w:hRule="atLeast"/>
          <w:tblHeader w:val="0"/>
        </w:trPr>
        <w:tc>
          <w:tcPr>
            <w:tcBorders>
              <w:top w:color="000000" w:space="0" w:sz="4" w:val="single"/>
            </w:tcBorders>
          </w:tcPr>
          <w:p w:rsidR="00000000" w:rsidDel="00000000" w:rsidP="00000000" w:rsidRDefault="00000000" w:rsidRPr="00000000" w14:paraId="0000002D">
            <w:pPr>
              <w:spacing w:before="120" w:lineRule="auto"/>
              <w:ind w:right="720"/>
              <w:rPr>
                <w:rFonts w:ascii="Times" w:cs="Times" w:eastAsia="Times" w:hAnsi="Times"/>
                <w:color w:val="ff0000"/>
                <w:sz w:val="18"/>
                <w:szCs w:val="18"/>
              </w:rPr>
            </w:pPr>
            <w:r w:rsidDel="00000000" w:rsidR="00000000" w:rsidRPr="00000000">
              <w:rPr>
                <w:rFonts w:ascii="Times" w:cs="Times" w:eastAsia="Times" w:hAnsi="Times"/>
                <w:color w:val="ff0000"/>
                <w:sz w:val="18"/>
                <w:szCs w:val="18"/>
                <w:rtl w:val="0"/>
              </w:rPr>
              <w:t xml:space="preserve">Legal References</w:t>
            </w:r>
          </w:p>
          <w:p w:rsidR="00000000" w:rsidDel="00000000" w:rsidP="00000000" w:rsidRDefault="00000000" w:rsidRPr="00000000" w14:paraId="0000002E">
            <w:pPr>
              <w:spacing w:before="120" w:lineRule="auto"/>
              <w:ind w:right="720"/>
              <w:rPr>
                <w:rFonts w:ascii="Times" w:cs="Times" w:eastAsia="Times" w:hAnsi="Times"/>
                <w:color w:val="ff0000"/>
                <w:sz w:val="18"/>
                <w:szCs w:val="18"/>
              </w:rPr>
            </w:pPr>
            <w:r w:rsidDel="00000000" w:rsidR="00000000" w:rsidRPr="00000000">
              <w:rPr>
                <w:rtl w:val="0"/>
              </w:rPr>
            </w:r>
          </w:p>
        </w:tc>
      </w:tr>
      <w:tr>
        <w:trPr>
          <w:cantSplit w:val="0"/>
          <w:trHeight w:val="73" w:hRule="atLeast"/>
          <w:tblHeader w:val="0"/>
        </w:trPr>
        <w:tc>
          <w:tcPr/>
          <w:p w:rsidR="00000000" w:rsidDel="00000000" w:rsidP="00000000" w:rsidRDefault="00000000" w:rsidRPr="00000000" w14:paraId="0000002F">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Times" w:cs="Times" w:eastAsia="Times" w:hAnsi="Times"/>
                <w:b w:val="0"/>
                <w:bCs w:val="0"/>
                <w:i w:val="0"/>
                <w:iCs w:val="0"/>
                <w:smallCaps w:val="0"/>
                <w:strike w:val="0"/>
                <w:color w:val="ff0000"/>
                <w:sz w:val="18"/>
                <w:szCs w:val="18"/>
                <w:vertAlign w:val="baseline"/>
              </w:rPr>
            </w:pPr>
            <w:hyperlink r:id="rId7">
              <w:r w:rsidDel="00000000" w:rsidR="00000000" w:rsidRPr="00000000">
                <w:rPr>
                  <w:rFonts w:ascii="Times" w:cs="Times" w:eastAsia="Times" w:hAnsi="Times"/>
                  <w:b w:val="0"/>
                  <w:bCs w:val="0"/>
                  <w:i w:val="0"/>
                  <w:iCs w:val="0"/>
                  <w:smallCaps w:val="0"/>
                  <w:strike w:val="0"/>
                  <w:color w:val="ff0000"/>
                  <w:sz w:val="18"/>
                  <w:szCs w:val="18"/>
                  <w:u w:val="single"/>
                  <w:vertAlign w:val="baseline"/>
                  <w:rtl w:val="0"/>
                </w:rPr>
                <w:t xml:space="preserve">Public Acts of 2026, Chapter No. 1112</w:t>
              </w:r>
            </w:hyperlink>
            <w:r w:rsidDel="00000000" w:rsidR="00000000" w:rsidRPr="00000000">
              <w:rPr>
                <w:rFonts w:ascii="Times New Roman" w:cs="Times New Roman" w:eastAsia="Times New Roman" w:hAnsi="Times New Roman"/>
                <w:b w:val="0"/>
                <w:bCs w:val="0"/>
                <w:i w:val="0"/>
                <w:iCs w:val="0"/>
                <w:smallCaps w:val="0"/>
                <w:strike w:val="0"/>
                <w:color w:val="ff0000"/>
                <w:sz w:val="18"/>
                <w:szCs w:val="18"/>
                <w:u w:val="none"/>
                <w:vertAlign w:val="baseline"/>
                <w:rtl w:val="0"/>
              </w:rPr>
              <w:t xml:space="preserve">; </w:t>
            </w:r>
            <w:hyperlink r:id="rId8">
              <w:r w:rsidDel="00000000" w:rsidR="00000000" w:rsidRPr="00000000">
                <w:rPr>
                  <w:rFonts w:ascii="Times New Roman" w:cs="Times New Roman" w:eastAsia="Times New Roman" w:hAnsi="Times New Roman"/>
                  <w:b w:val="0"/>
                  <w:bCs w:val="0"/>
                  <w:i w:val="0"/>
                  <w:iCs w:val="0"/>
                  <w:smallCaps w:val="0"/>
                  <w:strike w:val="0"/>
                  <w:color w:val="ff0000"/>
                  <w:sz w:val="18"/>
                  <w:szCs w:val="18"/>
                  <w:u w:val="single"/>
                  <w:vertAlign w:val="baseline"/>
                  <w:rtl w:val="0"/>
                </w:rPr>
                <w:t xml:space="preserve">20 U.S.C. § 1401</w:t>
              </w:r>
            </w:hyperlink>
            <w:r w:rsidDel="00000000" w:rsidR="00000000" w:rsidRPr="00000000">
              <w:rPr>
                <w:rtl w:val="0"/>
              </w:rPr>
            </w:r>
          </w:p>
        </w:tc>
      </w:tr>
    </w:tbl>
    <w:p w:rsidR="00000000" w:rsidDel="00000000" w:rsidP="00000000" w:rsidRDefault="00000000" w:rsidRPr="00000000" w14:paraId="00000030">
      <w:pPr>
        <w:spacing w:after="0" w:before="240" w:line="240" w:lineRule="auto"/>
        <w:rPr>
          <w:rFonts w:ascii="Times" w:cs="Times" w:eastAsia="Times" w:hAnsi="Times"/>
          <w:color w:val="ff0000"/>
          <w:sz w:val="24"/>
          <w:szCs w:val="24"/>
        </w:rPr>
      </w:pPr>
      <w:r w:rsidDel="00000000" w:rsidR="00000000" w:rsidRPr="00000000">
        <w:rPr>
          <w:rtl w:val="0"/>
        </w:rPr>
      </w:r>
    </w:p>
    <w:sectPr>
      <w:headerReference r:id="rId9" w:type="default"/>
      <w:footerReference r:id="rId10" w:type="default"/>
      <w:footerReference r:id="rId11" w:type="first"/>
      <w:pgSz w:h="15840" w:w="12240" w:orient="portrait"/>
      <w:pgMar w:bottom="1440" w:top="1440" w:left="1152" w:right="1152" w:header="720" w:footer="720"/>
      <w:lnNumType w:countBy="1" w:start="0" w:restart="newPage"/>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Times New Roman"/>
  <w:font w:name="Courier New"/>
  <w:font w:name="Times"/>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Page </w:t>
    </w: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 of </w:t>
    </w: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 w:val="left" w:leader="none" w:pos="1365"/>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-140540</wp:posOffset>
              </wp:positionH>
              <wp:positionV relativeFrom="paragraph">
                <wp:posOffset>64505</wp:posOffset>
              </wp:positionV>
              <wp:extent cx="6672220" cy="38100"/>
              <wp:effectExtent b="0" l="0" r="0" t="0"/>
              <wp:wrapNone/>
              <wp:docPr id="1" name=""/>
              <a:graphic>
                <a:graphicData uri="http://schemas.microsoft.com/office/word/2010/wordprocessingShape">
                  <wps:wsp>
                    <wps:cNvCnPr/>
                    <wps:spPr>
                      <a:xfrm>
                        <a:off x="2019415" y="3780000"/>
                        <a:ext cx="6653170" cy="0"/>
                      </a:xfrm>
                      <a:prstGeom prst="straightConnector1">
                        <a:avLst/>
                      </a:prstGeom>
                      <a:noFill/>
                      <a:ln cap="flat" cmpd="sng" w="19050">
                        <a:solidFill>
                          <a:schemeClr val="dk1"/>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-140540</wp:posOffset>
              </wp:positionH>
              <wp:positionV relativeFrom="paragraph">
                <wp:posOffset>64505</wp:posOffset>
              </wp:positionV>
              <wp:extent cx="6672220" cy="38100"/>
              <wp:effectExtent b="0" l="0" r="0" t="0"/>
              <wp:wrapNone/>
              <wp:docPr id="1" name="image1.png"/>
              <a:graphic>
                <a:graphicData uri="http://schemas.openxmlformats.org/drawingml/2006/picture">
                  <pic:pic>
                    <pic:nvPicPr>
                      <pic:cNvPr id="0" name="image1.png"/>
                      <pic:cNvPicPr preferRelativeResize="0"/>
                    </pic:nvPicPr>
                    <pic:blipFill>
                      <a:blip r:embed="rId1"/>
                      <a:srcRect/>
                      <a:stretch>
                        <a:fillRect/>
                      </a:stretch>
                    </pic:blipFill>
                    <pic:spPr>
                      <a:xfrm>
                        <a:off x="0" y="0"/>
                        <a:ext cx="6672220" cy="38100"/>
                      </a:xfrm>
                      <a:prstGeom prst="rect"/>
                      <a:ln/>
                    </pic:spPr>
                  </pic:pic>
                </a:graphicData>
              </a:graphic>
            </wp:anchor>
          </w:drawing>
        </mc:Fallback>
      </mc:AlternateContent>
    </w:r>
  </w:p>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 w:val="left" w:leader="none" w:pos="1365"/>
      </w:tabs>
      <w:spacing w:after="0" w:before="6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ab/>
      <w:tab/>
      <w:tab/>
      <w:tab/>
      <w:tab/>
      <w:tab/>
      <w:tab/>
      <w:tab/>
      <w:tab/>
      <w:tab/>
      <w:t xml:space="preserve">Version Date: May 27, 2026</w:t>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1"/>
        <w:bCs w:val="1"/>
        <w:sz w:val="16"/>
        <w:szCs w:val="16"/>
      </w:rPr>
      <w:pict>
        <v:shape id="PowerPlusWaterMarkObject1" style="position:absolute;width:524.5547244094488pt;height:178.02653543307085pt;rotation:315;z-index:-503316481;mso-position-horizontal-relative:margin;mso-position-horizontal:center;mso-position-vertical-relative:margin;mso-position-vertical:center;" fillcolor="#e8eaed" stroked="f" type="#_x0000_t136">
          <v:fill angle="0" opacity="54395f"/>
          <v:textpath fitshape="t" string="DRAFT" style="font-family:&amp;quot;Arial&amp;quot;;font-size:1pt;font-weight:bold;"/>
        </v:shape>
      </w:pict>
    </w:r>
    <w:r w:rsidDel="00000000" w:rsidR="00000000" w:rsidRPr="00000000">
      <w:rPr>
        <w:rFonts w:ascii="Times New Roman" w:cs="Times New Roman" w:eastAsia="Times New Roman" w:hAnsi="Times New Roman"/>
        <w:b w:val="1"/>
        <w:bCs w:val="1"/>
        <w:i w:val="0"/>
        <w:iCs w:val="0"/>
        <w:smallCaps w:val="0"/>
        <w:strike w:val="0"/>
        <w:color w:val="000000"/>
        <w:sz w:val="16"/>
        <w:szCs w:val="16"/>
        <w:u w:val="none"/>
        <w:shd w:fill="auto" w:val="clear"/>
        <w:vertAlign w:val="baseline"/>
        <w:rtl w:val="0"/>
      </w:rPr>
      <w:t xml:space="preserve">Outside Applied Behavior Analysis Therapy</w:t>
      <w:tab/>
      <w:tab/>
      <w:t xml:space="preserve">6.4053</w:t>
    </w:r>
  </w:p>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16"/>
        <w:szCs w:val="16"/>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-131328</wp:posOffset>
              </wp:positionH>
              <wp:positionV relativeFrom="paragraph">
                <wp:posOffset>-17396</wp:posOffset>
              </wp:positionV>
              <wp:extent cx="6612153" cy="57150"/>
              <wp:effectExtent b="0" l="0" r="0" t="0"/>
              <wp:wrapNone/>
              <wp:docPr id="2" name=""/>
              <a:graphic>
                <a:graphicData uri="http://schemas.microsoft.com/office/word/2010/wordprocessingShape">
                  <wps:wsp>
                    <wps:cNvCnPr/>
                    <wps:spPr>
                      <a:xfrm>
                        <a:off x="2054211" y="3780000"/>
                        <a:ext cx="6583578" cy="0"/>
                      </a:xfrm>
                      <a:prstGeom prst="straightConnector1">
                        <a:avLst/>
                      </a:prstGeom>
                      <a:noFill/>
                      <a:ln cap="flat" cmpd="sng" w="28575">
                        <a:solidFill>
                          <a:srgbClr val="0C0C0C"/>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-131328</wp:posOffset>
              </wp:positionH>
              <wp:positionV relativeFrom="paragraph">
                <wp:posOffset>-17396</wp:posOffset>
              </wp:positionV>
              <wp:extent cx="6612153" cy="57150"/>
              <wp:effectExtent b="0" l="0" r="0" t="0"/>
              <wp:wrapNone/>
              <wp:docPr id="2"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6612153" cy="57150"/>
                      </a:xfrm>
                      <a:prstGeom prst="rect"/>
                      <a:ln/>
                    </pic:spPr>
                  </pic:pic>
                </a:graphicData>
              </a:graphic>
            </wp:anchor>
          </w:drawing>
        </mc:Fallback>
      </mc:AlternateConten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publications.tnsosfiles.com/acts/114/pub/pc1112.pdf" TargetMode="External"/><Relationship Id="rId8" Type="http://schemas.openxmlformats.org/officeDocument/2006/relationships/hyperlink" Target="https://uscode.house.gov/view.xhtml?hl=false&amp;edition=prelim&amp;path=%2Fprelim%40title20%2Fchapter33%2Fsubchapter1&amp;req=granuleid%3AUSC-prelim-title20-section1401&amp;num=0&amp;saved=L3ByZWxpbUB0aXRsZTIwL2NoYXB0ZXIzMy9zdWJjaGFwdGVyMQ%3D%3D%7CZ3JhbnVsZWlkOlVTQy1wcmVsaW0tdGl0bGUyMC1jaGFwdGVyMzMtc3ViY2hhcHRlcjE%3D%7C%7C%7C0%7Cfalse%7Cprelim"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M/DJZOV6zdMoYn2pHpUMHIf1yjg==">CgMxLjAyD2lkLmVnc2xyMzg5eml1MDgAciExNEg4bkZlUFAtMzR3dTNoVGpFa3h2OGJ0bjFnd2otNjI=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BoardTitle">
    <vt:lpwstr>Cumberland Board</vt:lpwstr>
  </property>
</Properties>
</file>